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3B" w:rsidRPr="0069777B" w:rsidRDefault="005D1B3B" w:rsidP="005D1B3B">
      <w:pPr>
        <w:pStyle w:val="BodyText"/>
        <w:widowControl w:val="0"/>
        <w:tabs>
          <w:tab w:val="left" w:pos="9450"/>
        </w:tabs>
        <w:kinsoku w:val="0"/>
        <w:ind w:right="-36"/>
        <w:jc w:val="right"/>
        <w:rPr>
          <w:b/>
          <w:bCs/>
          <w:i/>
          <w:iCs/>
          <w:smallCaps/>
          <w:szCs w:val="24"/>
        </w:rPr>
      </w:pPr>
      <w:bookmarkStart w:id="0" w:name="_GoBack"/>
      <w:bookmarkEnd w:id="0"/>
      <w:r w:rsidRPr="0069777B">
        <w:rPr>
          <w:rFonts w:ascii="Times New Roman Bold" w:hAnsi="Times New Roman Bold"/>
          <w:b/>
          <w:bCs/>
          <w:i/>
          <w:iCs/>
          <w:smallCaps/>
          <w:szCs w:val="24"/>
        </w:rPr>
        <w:t>Hawaii Employer-Union Health Benefits Trust Fund</w:t>
      </w:r>
    </w:p>
    <w:p w:rsidR="005D1B3B" w:rsidRPr="0069777B" w:rsidRDefault="005D1B3B" w:rsidP="005D1B3B">
      <w:pPr>
        <w:widowControl w:val="0"/>
        <w:pBdr>
          <w:top w:val="single" w:sz="24" w:space="2" w:color="000000"/>
          <w:between w:val="single" w:sz="24" w:space="2" w:color="000000"/>
        </w:pBdr>
        <w:tabs>
          <w:tab w:val="right" w:pos="9216"/>
        </w:tabs>
        <w:kinsoku w:val="0"/>
        <w:spacing w:before="32" w:line="204" w:lineRule="auto"/>
        <w:ind w:right="144"/>
        <w:rPr>
          <w:b/>
          <w:bCs/>
          <w:w w:val="105"/>
          <w:szCs w:val="24"/>
        </w:rPr>
      </w:pPr>
      <w:r>
        <w:rPr>
          <w:b/>
          <w:bCs/>
          <w:w w:val="105"/>
          <w:szCs w:val="24"/>
        </w:rPr>
        <w:tab/>
      </w:r>
      <w:r w:rsidRPr="0069777B">
        <w:rPr>
          <w:b/>
          <w:bCs/>
          <w:w w:val="105"/>
          <w:szCs w:val="24"/>
        </w:rPr>
        <w:t>SECTION VII</w:t>
      </w:r>
    </w:p>
    <w:p w:rsidR="005D1B3B" w:rsidRPr="0069777B" w:rsidRDefault="005D1B3B" w:rsidP="005D1B3B">
      <w:pPr>
        <w:spacing w:before="240" w:after="240"/>
        <w:ind w:left="360"/>
        <w:jc w:val="center"/>
        <w:rPr>
          <w:b/>
          <w:sz w:val="28"/>
          <w:szCs w:val="28"/>
        </w:rPr>
      </w:pPr>
      <w:r w:rsidRPr="0069777B">
        <w:rPr>
          <w:b/>
          <w:sz w:val="28"/>
          <w:szCs w:val="28"/>
        </w:rPr>
        <w:t>FEE PROPOSAL</w:t>
      </w:r>
    </w:p>
    <w:p w:rsidR="005D1B3B" w:rsidRPr="0069777B" w:rsidRDefault="005D1B3B" w:rsidP="005D1B3B">
      <w:pPr>
        <w:spacing w:after="240"/>
        <w:jc w:val="both"/>
        <w:rPr>
          <w:szCs w:val="36"/>
        </w:rPr>
      </w:pPr>
      <w:r w:rsidRPr="0069777B">
        <w:rPr>
          <w:szCs w:val="36"/>
        </w:rPr>
        <w:t>The EUTF reserves the right to reject any and all proposals, to waive any informalities or irregularities in the proposals received, and to award by item or total or any combination of proposals deemed most favorable to the EUTF.</w:t>
      </w:r>
    </w:p>
    <w:p w:rsidR="005D1B3B" w:rsidRPr="0069777B" w:rsidRDefault="005D1B3B" w:rsidP="005D1B3B">
      <w:pPr>
        <w:tabs>
          <w:tab w:val="left" w:pos="0"/>
        </w:tabs>
        <w:spacing w:after="240"/>
        <w:jc w:val="both"/>
        <w:rPr>
          <w:szCs w:val="36"/>
        </w:rPr>
      </w:pPr>
      <w:r w:rsidRPr="0069777B">
        <w:rPr>
          <w:szCs w:val="36"/>
        </w:rPr>
        <w:t xml:space="preserve">Proposals are requested on an all-inclusive rate, which shall remain fixed for the period of the contract.  </w:t>
      </w:r>
    </w:p>
    <w:p w:rsidR="005D1B3B" w:rsidRPr="0069777B" w:rsidRDefault="005D1B3B" w:rsidP="005D1B3B">
      <w:pPr>
        <w:spacing w:after="240"/>
        <w:jc w:val="both"/>
        <w:rPr>
          <w:color w:val="000000"/>
        </w:rPr>
      </w:pPr>
      <w:r w:rsidRPr="0069777B">
        <w:rPr>
          <w:color w:val="000000"/>
        </w:rPr>
        <w:t>All costs must be included on these sheets in order to be reimbursed.  For proposals that include the use of subcontractors, subcontractor personnel and costs shall also be calculated as part of the OFFEROR’s total cost.</w:t>
      </w:r>
    </w:p>
    <w:p w:rsidR="005D1B3B" w:rsidRPr="00316279" w:rsidRDefault="005D1B3B" w:rsidP="005D1B3B">
      <w:pPr>
        <w:pBdr>
          <w:top w:val="single" w:sz="4" w:space="1" w:color="auto"/>
          <w:left w:val="single" w:sz="4" w:space="4" w:color="auto"/>
          <w:bottom w:val="single" w:sz="4" w:space="1" w:color="auto"/>
          <w:right w:val="single" w:sz="4" w:space="4" w:color="auto"/>
        </w:pBdr>
        <w:spacing w:before="240" w:after="240"/>
        <w:outlineLvl w:val="1"/>
        <w:rPr>
          <w:rStyle w:val="IntenseReference"/>
          <w:color w:val="FF0000"/>
        </w:rPr>
      </w:pPr>
      <w:bookmarkStart w:id="1" w:name="_Toc322660551"/>
      <w:bookmarkStart w:id="2" w:name="_Toc433050384"/>
      <w:r w:rsidRPr="00316279">
        <w:rPr>
          <w:rStyle w:val="IntenseReference"/>
          <w:color w:val="FF0000"/>
        </w:rPr>
        <w:t>I. Fee Proposal</w:t>
      </w:r>
      <w:bookmarkEnd w:id="1"/>
      <w:bookmarkEnd w:id="2"/>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32"/>
        <w:gridCol w:w="4600"/>
      </w:tblGrid>
      <w:tr w:rsidR="005D1B3B" w:rsidRPr="003C6DDC" w:rsidTr="002117DA">
        <w:trPr>
          <w:tblHeader/>
        </w:trPr>
        <w:tc>
          <w:tcPr>
            <w:tcW w:w="4632" w:type="dxa"/>
          </w:tcPr>
          <w:p w:rsidR="005D1B3B" w:rsidRPr="003C6DDC" w:rsidRDefault="005D1B3B" w:rsidP="002117DA">
            <w:pPr>
              <w:pStyle w:val="BodyText"/>
              <w:spacing w:before="90" w:after="54"/>
              <w:jc w:val="center"/>
              <w:rPr>
                <w:b/>
              </w:rPr>
            </w:pPr>
            <w:r>
              <w:rPr>
                <w:b/>
                <w:bCs/>
                <w:smallCaps/>
              </w:rPr>
              <w:t>I</w:t>
            </w:r>
            <w:r w:rsidRPr="003C6DDC">
              <w:rPr>
                <w:b/>
                <w:bCs/>
                <w:smallCaps/>
              </w:rPr>
              <w:t xml:space="preserve">. </w:t>
            </w:r>
            <w:r>
              <w:rPr>
                <w:b/>
                <w:bCs/>
                <w:smallCaps/>
              </w:rPr>
              <w:t xml:space="preserve"> FEE PROPOSAL</w:t>
            </w:r>
            <w:r w:rsidRPr="003C6DDC">
              <w:rPr>
                <w:b/>
                <w:bCs/>
                <w:smallCaps/>
              </w:rPr>
              <w:t xml:space="preserve"> </w:t>
            </w:r>
          </w:p>
        </w:tc>
        <w:tc>
          <w:tcPr>
            <w:tcW w:w="4600" w:type="dxa"/>
          </w:tcPr>
          <w:p w:rsidR="005D1B3B" w:rsidRPr="003C6DDC" w:rsidRDefault="005D1B3B" w:rsidP="002117DA">
            <w:pPr>
              <w:pStyle w:val="BodyText"/>
              <w:spacing w:before="90" w:after="54"/>
              <w:jc w:val="center"/>
            </w:pPr>
            <w:r>
              <w:rPr>
                <w:b/>
              </w:rPr>
              <w:t>VENDOR RESPONSE</w:t>
            </w:r>
          </w:p>
        </w:tc>
      </w:tr>
      <w:tr w:rsidR="005D1B3B" w:rsidRPr="003C6DDC" w:rsidTr="002117DA">
        <w:tc>
          <w:tcPr>
            <w:tcW w:w="4632" w:type="dxa"/>
          </w:tcPr>
          <w:p w:rsidR="005D1B3B" w:rsidRPr="00721BCB" w:rsidRDefault="005D1B3B" w:rsidP="005D1B3B">
            <w:pPr>
              <w:numPr>
                <w:ilvl w:val="0"/>
                <w:numId w:val="2"/>
              </w:numPr>
              <w:tabs>
                <w:tab w:val="left" w:pos="343"/>
              </w:tabs>
              <w:ind w:left="343"/>
            </w:pPr>
            <w:r>
              <w:t xml:space="preserve">     </w:t>
            </w:r>
            <w:r w:rsidRPr="00DE12E4">
              <w:t xml:space="preserve">Confirm your fees are presented on an “all inclusive” basis, including travel expenses and an in-person report presentation.    </w:t>
            </w:r>
          </w:p>
        </w:tc>
        <w:tc>
          <w:tcPr>
            <w:tcW w:w="4600" w:type="dxa"/>
          </w:tcPr>
          <w:p w:rsidR="005D1B3B" w:rsidRPr="00721BCB" w:rsidRDefault="005D1B3B" w:rsidP="002117DA"/>
        </w:tc>
      </w:tr>
      <w:tr w:rsidR="005D1B3B" w:rsidRPr="003C6DDC" w:rsidTr="002117DA">
        <w:tc>
          <w:tcPr>
            <w:tcW w:w="4632" w:type="dxa"/>
          </w:tcPr>
          <w:p w:rsidR="005D1B3B" w:rsidRDefault="005D1B3B" w:rsidP="002117DA">
            <w:pPr>
              <w:ind w:left="360" w:hanging="406"/>
            </w:pPr>
            <w:r>
              <w:rPr>
                <w:szCs w:val="24"/>
              </w:rPr>
              <w:t>I-2.     Confirm your understanding that the EUTF may alter the audit schedule (i.e., skip or combine years); therefore, the auditor must prepare an audit schedule for each year and submit for EUTF’s approval before work commences.</w:t>
            </w:r>
          </w:p>
        </w:tc>
        <w:tc>
          <w:tcPr>
            <w:tcW w:w="4600" w:type="dxa"/>
          </w:tcPr>
          <w:p w:rsidR="005D1B3B" w:rsidRPr="00721BCB" w:rsidRDefault="005D1B3B" w:rsidP="002117DA"/>
        </w:tc>
      </w:tr>
      <w:tr w:rsidR="005D1B3B" w:rsidRPr="003C6DDC" w:rsidTr="002117DA">
        <w:tc>
          <w:tcPr>
            <w:tcW w:w="4632" w:type="dxa"/>
          </w:tcPr>
          <w:p w:rsidR="005D1B3B" w:rsidRDefault="005D1B3B" w:rsidP="002117DA">
            <w:pPr>
              <w:tabs>
                <w:tab w:val="left" w:pos="732"/>
              </w:tabs>
              <w:ind w:left="351" w:hanging="351"/>
            </w:pPr>
            <w:r>
              <w:t xml:space="preserve">I-3.    </w:t>
            </w:r>
            <w:r w:rsidRPr="00DE12E4">
              <w:t>Confirm your fee will remain valid 90 days from the proposal due date.</w:t>
            </w:r>
          </w:p>
        </w:tc>
        <w:tc>
          <w:tcPr>
            <w:tcW w:w="4600" w:type="dxa"/>
          </w:tcPr>
          <w:p w:rsidR="005D1B3B" w:rsidRPr="00721BCB" w:rsidRDefault="005D1B3B" w:rsidP="002117DA"/>
        </w:tc>
      </w:tr>
      <w:tr w:rsidR="005D1B3B" w:rsidRPr="003C6DDC" w:rsidTr="002117DA">
        <w:tc>
          <w:tcPr>
            <w:tcW w:w="4632" w:type="dxa"/>
          </w:tcPr>
          <w:p w:rsidR="005D1B3B" w:rsidRDefault="005D1B3B" w:rsidP="002117DA">
            <w:pPr>
              <w:tabs>
                <w:tab w:val="left" w:pos="732"/>
              </w:tabs>
              <w:ind w:left="351" w:hanging="351"/>
            </w:pPr>
            <w:r>
              <w:rPr>
                <w:szCs w:val="24"/>
              </w:rPr>
              <w:t>I-4.    12% of your fees will be subject to Performance Guarantees that will be negotiated and agreed upon prior to contract award.  Indicate the percent you are willing to put at risk for the following categories:</w:t>
            </w:r>
          </w:p>
        </w:tc>
        <w:tc>
          <w:tcPr>
            <w:tcW w:w="4600" w:type="dxa"/>
          </w:tcPr>
          <w:p w:rsidR="005D1B3B" w:rsidRPr="00721BCB" w:rsidRDefault="005D1B3B" w:rsidP="002117DA"/>
        </w:tc>
      </w:tr>
      <w:tr w:rsidR="005D1B3B" w:rsidRPr="003C6DDC" w:rsidTr="002117DA">
        <w:tc>
          <w:tcPr>
            <w:tcW w:w="4632" w:type="dxa"/>
          </w:tcPr>
          <w:p w:rsidR="005D1B3B" w:rsidRDefault="005D1B3B" w:rsidP="005D1B3B">
            <w:pPr>
              <w:numPr>
                <w:ilvl w:val="2"/>
                <w:numId w:val="1"/>
              </w:numPr>
              <w:tabs>
                <w:tab w:val="left" w:pos="732"/>
              </w:tabs>
              <w:ind w:left="702"/>
              <w:rPr>
                <w:szCs w:val="24"/>
              </w:rPr>
            </w:pPr>
            <w:r>
              <w:rPr>
                <w:szCs w:val="24"/>
              </w:rPr>
              <w:t>Continuity in project manager and lead technical personnel. (3%)</w:t>
            </w:r>
          </w:p>
        </w:tc>
        <w:tc>
          <w:tcPr>
            <w:tcW w:w="4600" w:type="dxa"/>
          </w:tcPr>
          <w:p w:rsidR="005D1B3B" w:rsidRPr="00721BCB" w:rsidRDefault="005D1B3B" w:rsidP="002117DA"/>
        </w:tc>
      </w:tr>
      <w:tr w:rsidR="005D1B3B" w:rsidRPr="003C6DDC" w:rsidTr="002117DA">
        <w:tc>
          <w:tcPr>
            <w:tcW w:w="4632" w:type="dxa"/>
          </w:tcPr>
          <w:p w:rsidR="005D1B3B" w:rsidRDefault="005D1B3B" w:rsidP="005D1B3B">
            <w:pPr>
              <w:numPr>
                <w:ilvl w:val="2"/>
                <w:numId w:val="1"/>
              </w:numPr>
              <w:tabs>
                <w:tab w:val="left" w:pos="732"/>
              </w:tabs>
              <w:ind w:left="702"/>
              <w:rPr>
                <w:szCs w:val="24"/>
              </w:rPr>
            </w:pPr>
            <w:r w:rsidRPr="0069777B">
              <w:rPr>
                <w:szCs w:val="24"/>
              </w:rPr>
              <w:t>Updates to the EUTF at least every two</w:t>
            </w:r>
            <w:r>
              <w:rPr>
                <w:szCs w:val="24"/>
              </w:rPr>
              <w:t xml:space="preserve"> (2)</w:t>
            </w:r>
            <w:r w:rsidRPr="0069777B">
              <w:rPr>
                <w:szCs w:val="24"/>
              </w:rPr>
              <w:t xml:space="preserve"> weeks.</w:t>
            </w:r>
            <w:r>
              <w:rPr>
                <w:szCs w:val="24"/>
              </w:rPr>
              <w:t xml:space="preserve"> (3%)</w:t>
            </w:r>
          </w:p>
        </w:tc>
        <w:tc>
          <w:tcPr>
            <w:tcW w:w="4600" w:type="dxa"/>
          </w:tcPr>
          <w:p w:rsidR="005D1B3B" w:rsidRPr="00721BCB" w:rsidRDefault="005D1B3B" w:rsidP="002117DA"/>
        </w:tc>
      </w:tr>
      <w:tr w:rsidR="005D1B3B" w:rsidRPr="003C6DDC" w:rsidTr="002117DA">
        <w:tc>
          <w:tcPr>
            <w:tcW w:w="4632" w:type="dxa"/>
          </w:tcPr>
          <w:p w:rsidR="005D1B3B" w:rsidRDefault="005D1B3B" w:rsidP="005D1B3B">
            <w:pPr>
              <w:numPr>
                <w:ilvl w:val="2"/>
                <w:numId w:val="1"/>
              </w:numPr>
              <w:tabs>
                <w:tab w:val="left" w:pos="732"/>
              </w:tabs>
              <w:ind w:left="702"/>
              <w:rPr>
                <w:szCs w:val="24"/>
              </w:rPr>
            </w:pPr>
            <w:r>
              <w:rPr>
                <w:szCs w:val="24"/>
              </w:rPr>
              <w:t xml:space="preserve">EUTF satisfaction rating to encompass ease in contract execution, implementation, accuracy, ability to maintain the project timeline, and </w:t>
            </w:r>
            <w:r>
              <w:rPr>
                <w:szCs w:val="24"/>
              </w:rPr>
              <w:lastRenderedPageBreak/>
              <w:t>content of the written report (e.g., clarity, non-technical explanation of findings, appropriate recommendations). (6%)</w:t>
            </w:r>
          </w:p>
        </w:tc>
        <w:tc>
          <w:tcPr>
            <w:tcW w:w="4600" w:type="dxa"/>
          </w:tcPr>
          <w:p w:rsidR="005D1B3B" w:rsidRPr="00721BCB" w:rsidRDefault="005D1B3B" w:rsidP="002117DA"/>
        </w:tc>
      </w:tr>
      <w:tr w:rsidR="005D1B3B" w:rsidRPr="003C6DDC" w:rsidTr="002117DA">
        <w:tc>
          <w:tcPr>
            <w:tcW w:w="4632" w:type="dxa"/>
          </w:tcPr>
          <w:p w:rsidR="005D1B3B" w:rsidRDefault="005D1B3B" w:rsidP="002117DA">
            <w:pPr>
              <w:tabs>
                <w:tab w:val="left" w:pos="732"/>
              </w:tabs>
              <w:ind w:left="351" w:hanging="351"/>
              <w:rPr>
                <w:szCs w:val="24"/>
              </w:rPr>
            </w:pPr>
            <w:r>
              <w:rPr>
                <w:szCs w:val="24"/>
              </w:rPr>
              <w:t xml:space="preserve">I-5.     </w:t>
            </w:r>
            <w:r w:rsidRPr="009D2A9A">
              <w:rPr>
                <w:szCs w:val="24"/>
              </w:rPr>
              <w:t xml:space="preserve">Confirm your understanding that if the EUTF does not respond to your Performance Guarantees before the award of the contract, the EUTF does not infer or imply acceptance by the EUTF.  The EUTF reserves the right to negotiate both financial and non-financial performance guarantees with the </w:t>
            </w:r>
            <w:r>
              <w:rPr>
                <w:szCs w:val="24"/>
              </w:rPr>
              <w:t>successful OFFEROR</w:t>
            </w:r>
            <w:r w:rsidRPr="009D2A9A">
              <w:rPr>
                <w:szCs w:val="24"/>
              </w:rPr>
              <w:t>.</w:t>
            </w:r>
          </w:p>
        </w:tc>
        <w:tc>
          <w:tcPr>
            <w:tcW w:w="4600" w:type="dxa"/>
          </w:tcPr>
          <w:p w:rsidR="005D1B3B" w:rsidRPr="00721BCB" w:rsidRDefault="005D1B3B" w:rsidP="002117DA"/>
        </w:tc>
      </w:tr>
    </w:tbl>
    <w:p w:rsidR="00531190" w:rsidRDefault="00531190"/>
    <w:sectPr w:rsidR="00531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5E7" w:rsidRDefault="00DC75E7" w:rsidP="00DC75E7">
      <w:r>
        <w:separator/>
      </w:r>
    </w:p>
  </w:endnote>
  <w:endnote w:type="continuationSeparator" w:id="0">
    <w:p w:rsidR="00DC75E7" w:rsidRDefault="00DC75E7" w:rsidP="00DC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5E7" w:rsidRDefault="00DC75E7" w:rsidP="00DC75E7">
      <w:r>
        <w:separator/>
      </w:r>
    </w:p>
  </w:footnote>
  <w:footnote w:type="continuationSeparator" w:id="0">
    <w:p w:rsidR="00DC75E7" w:rsidRDefault="00DC75E7" w:rsidP="00DC7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A7B3B"/>
    <w:multiLevelType w:val="hybridMultilevel"/>
    <w:tmpl w:val="CBE4610C"/>
    <w:lvl w:ilvl="0" w:tplc="AE72FA7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F3280"/>
    <w:multiLevelType w:val="hybridMultilevel"/>
    <w:tmpl w:val="DC12597E"/>
    <w:lvl w:ilvl="0" w:tplc="EB384A5A">
      <w:start w:val="1"/>
      <w:numFmt w:val="decimal"/>
      <w:lvlText w:val="B-%1."/>
      <w:lvlJc w:val="left"/>
      <w:pPr>
        <w:ind w:left="2340" w:hanging="360"/>
      </w:pPr>
      <w:rPr>
        <w:rFonts w:hint="default"/>
      </w:rPr>
    </w:lvl>
    <w:lvl w:ilvl="1" w:tplc="3A4CD684">
      <w:start w:val="1"/>
      <w:numFmt w:val="decimal"/>
      <w:lvlText w:val="%2."/>
      <w:lvlJc w:val="left"/>
      <w:pPr>
        <w:ind w:left="3060" w:hanging="360"/>
      </w:pPr>
      <w:rPr>
        <w:rFonts w:hint="default"/>
      </w:rPr>
    </w:lvl>
    <w:lvl w:ilvl="2" w:tplc="D018E1A6">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B"/>
    <w:rsid w:val="00531190"/>
    <w:rsid w:val="005D1B3B"/>
    <w:rsid w:val="00DC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B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1B3B"/>
    <w:pPr>
      <w:jc w:val="both"/>
    </w:pPr>
  </w:style>
  <w:style w:type="character" w:customStyle="1" w:styleId="BodyTextChar">
    <w:name w:val="Body Text Char"/>
    <w:basedOn w:val="DefaultParagraphFont"/>
    <w:link w:val="BodyText"/>
    <w:uiPriority w:val="99"/>
    <w:rsid w:val="005D1B3B"/>
    <w:rPr>
      <w:rFonts w:ascii="Times New Roman" w:eastAsia="Times New Roman" w:hAnsi="Times New Roman" w:cs="Times New Roman"/>
      <w:sz w:val="24"/>
      <w:szCs w:val="20"/>
    </w:rPr>
  </w:style>
  <w:style w:type="character" w:styleId="IntenseReference">
    <w:name w:val="Intense Reference"/>
    <w:uiPriority w:val="32"/>
    <w:qFormat/>
    <w:rsid w:val="005D1B3B"/>
    <w:rPr>
      <w:b/>
      <w:bCs/>
      <w:smallCaps/>
      <w:color w:val="C0504D"/>
      <w:spacing w:val="5"/>
    </w:rPr>
  </w:style>
  <w:style w:type="table" w:styleId="TableGrid">
    <w:name w:val="Table Grid"/>
    <w:basedOn w:val="TableNormal"/>
    <w:rsid w:val="005D1B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5E7"/>
    <w:pPr>
      <w:tabs>
        <w:tab w:val="center" w:pos="4680"/>
        <w:tab w:val="right" w:pos="9360"/>
      </w:tabs>
    </w:pPr>
  </w:style>
  <w:style w:type="character" w:customStyle="1" w:styleId="HeaderChar">
    <w:name w:val="Header Char"/>
    <w:basedOn w:val="DefaultParagraphFont"/>
    <w:link w:val="Header"/>
    <w:uiPriority w:val="99"/>
    <w:rsid w:val="00DC75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75E7"/>
    <w:pPr>
      <w:tabs>
        <w:tab w:val="center" w:pos="4680"/>
        <w:tab w:val="right" w:pos="9360"/>
      </w:tabs>
    </w:pPr>
  </w:style>
  <w:style w:type="character" w:customStyle="1" w:styleId="FooterChar">
    <w:name w:val="Footer Char"/>
    <w:basedOn w:val="DefaultParagraphFont"/>
    <w:link w:val="Footer"/>
    <w:uiPriority w:val="99"/>
    <w:rsid w:val="00DC75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2020-01-15T18:36:00Z</dcterms:created>
  <dcterms:modified xsi:type="dcterms:W3CDTF">2020-01-15T18:36:00Z</dcterms:modified>
</cp:coreProperties>
</file>